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591820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CAMP4 THERAPEUTICS CORPORATION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54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9"/>
              </w:rPr>
              <w:t>001-42365</w:t>
            </w:r>
          </w:p>
        </w:tc>
        <w:tc>
          <w:tcPr>
            <w:tcW w:w="3120" w:type="dxa"/>
            <w:vAlign w:val="bottom"/>
          </w:tcPr>
          <w:p>
            <w:pPr>
              <w:jc w:val="right"/>
              <w:ind w:right="1540"/>
              <w:spacing w:after="0"/>
              <w:rPr>
                <w:sz w:val="20"/>
                <w:szCs w:val="20"/>
                <w:color w:val="auto"/>
              </w:rPr>
            </w:pPr>
            <w:r>
              <w:rPr>
                <w:rFonts w:ascii="Times New Roman" w:cs="Times New Roman" w:eastAsia="Times New Roman" w:hAnsi="Times New Roman"/>
                <w:sz w:val="12"/>
                <w:szCs w:val="12"/>
                <w:b w:val="1"/>
                <w:bCs w:val="1"/>
                <w:color w:val="auto"/>
              </w:rPr>
              <w:t>81-1152476</w:t>
            </w:r>
          </w:p>
        </w:tc>
      </w:tr>
      <w:tr>
        <w:trPr>
          <w:trHeight w:val="165"/>
        </w:trPr>
        <w:tc>
          <w:tcPr>
            <w:tcW w:w="264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5540" w:type="dxa"/>
            <w:vAlign w:val="bottom"/>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9"/>
        </w:trPr>
        <w:tc>
          <w:tcPr>
            <w:tcW w:w="264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554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3120" w:type="dxa"/>
            <w:vAlign w:val="bottom"/>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5"/>
        </w:trPr>
        <w:tc>
          <w:tcPr>
            <w:tcW w:w="2640" w:type="dxa"/>
            <w:vAlign w:val="bottom"/>
          </w:tcPr>
          <w:p>
            <w:pPr>
              <w:spacing w:after="0"/>
              <w:rPr>
                <w:sz w:val="24"/>
                <w:szCs w:val="24"/>
                <w:color w:val="auto"/>
              </w:rPr>
            </w:pPr>
          </w:p>
        </w:tc>
        <w:tc>
          <w:tcPr>
            <w:tcW w:w="5540" w:type="dxa"/>
            <w:vAlign w:val="bottom"/>
          </w:tcPr>
          <w:p>
            <w:pPr>
              <w:jc w:val="center"/>
              <w:ind w:right="3280"/>
              <w:spacing w:after="0"/>
              <w:rPr>
                <w:sz w:val="20"/>
                <w:szCs w:val="20"/>
                <w:color w:val="auto"/>
              </w:rPr>
            </w:pPr>
            <w:r>
              <w:rPr>
                <w:rFonts w:ascii="Times New Roman" w:cs="Times New Roman" w:eastAsia="Times New Roman" w:hAnsi="Times New Roman"/>
                <w:sz w:val="12"/>
                <w:szCs w:val="12"/>
                <w:b w:val="1"/>
                <w:bCs w:val="1"/>
                <w:color w:val="auto"/>
                <w:w w:val="99"/>
              </w:rPr>
              <w:t>One Kendall Square</w:t>
            </w:r>
          </w:p>
        </w:tc>
        <w:tc>
          <w:tcPr>
            <w:tcW w:w="3120" w:type="dxa"/>
            <w:vAlign w:val="bottom"/>
          </w:tcPr>
          <w:p>
            <w:pPr>
              <w:spacing w:after="0"/>
              <w:rPr>
                <w:sz w:val="24"/>
                <w:szCs w:val="24"/>
                <w:color w:val="auto"/>
              </w:rPr>
            </w:pPr>
          </w:p>
        </w:tc>
      </w:tr>
      <w:tr>
        <w:trPr>
          <w:trHeight w:val="144"/>
        </w:trPr>
        <w:tc>
          <w:tcPr>
            <w:tcW w:w="2640" w:type="dxa"/>
            <w:vAlign w:val="bottom"/>
          </w:tcPr>
          <w:p>
            <w:pPr>
              <w:spacing w:after="0"/>
              <w:rPr>
                <w:sz w:val="12"/>
                <w:szCs w:val="12"/>
                <w:color w:val="auto"/>
              </w:rPr>
            </w:pPr>
          </w:p>
        </w:tc>
        <w:tc>
          <w:tcPr>
            <w:tcW w:w="5540" w:type="dxa"/>
            <w:vAlign w:val="bottom"/>
          </w:tcPr>
          <w:p>
            <w:pPr>
              <w:jc w:val="center"/>
              <w:ind w:right="3300"/>
              <w:spacing w:after="0"/>
              <w:rPr>
                <w:sz w:val="20"/>
                <w:szCs w:val="20"/>
                <w:color w:val="auto"/>
              </w:rPr>
            </w:pPr>
            <w:r>
              <w:rPr>
                <w:rFonts w:ascii="Times New Roman" w:cs="Times New Roman" w:eastAsia="Times New Roman" w:hAnsi="Times New Roman"/>
                <w:sz w:val="12"/>
                <w:szCs w:val="12"/>
                <w:b w:val="1"/>
                <w:bCs w:val="1"/>
                <w:color w:val="auto"/>
                <w:w w:val="99"/>
              </w:rPr>
              <w:t>Building 1400 West, 3rd Floor</w:t>
            </w:r>
          </w:p>
        </w:tc>
        <w:tc>
          <w:tcPr>
            <w:tcW w:w="3120" w:type="dxa"/>
            <w:vAlign w:val="bottom"/>
          </w:tcPr>
          <w:p>
            <w:pPr>
              <w:spacing w:after="0"/>
              <w:rPr>
                <w:sz w:val="12"/>
                <w:szCs w:val="12"/>
                <w:color w:val="auto"/>
              </w:rPr>
            </w:pPr>
          </w:p>
        </w:tc>
      </w:tr>
      <w:tr>
        <w:trPr>
          <w:trHeight w:val="159"/>
        </w:trPr>
        <w:tc>
          <w:tcPr>
            <w:tcW w:w="2640" w:type="dxa"/>
            <w:vAlign w:val="bottom"/>
          </w:tcPr>
          <w:p>
            <w:pPr>
              <w:spacing w:after="0"/>
              <w:rPr>
                <w:sz w:val="13"/>
                <w:szCs w:val="13"/>
                <w:color w:val="auto"/>
              </w:rPr>
            </w:pPr>
          </w:p>
        </w:tc>
        <w:tc>
          <w:tcPr>
            <w:tcW w:w="5540" w:type="dxa"/>
            <w:vAlign w:val="bottom"/>
          </w:tcPr>
          <w:p>
            <w:pPr>
              <w:jc w:val="center"/>
              <w:ind w:right="3280"/>
              <w:spacing w:after="0"/>
              <w:rPr>
                <w:sz w:val="20"/>
                <w:szCs w:val="20"/>
                <w:color w:val="auto"/>
              </w:rPr>
            </w:pPr>
            <w:r>
              <w:rPr>
                <w:rFonts w:ascii="Times New Roman" w:cs="Times New Roman" w:eastAsia="Times New Roman" w:hAnsi="Times New Roman"/>
                <w:sz w:val="12"/>
                <w:szCs w:val="12"/>
                <w:b w:val="1"/>
                <w:bCs w:val="1"/>
                <w:color w:val="auto"/>
                <w:w w:val="99"/>
              </w:rPr>
              <w:t>Cambridge, MA</w:t>
            </w:r>
          </w:p>
        </w:tc>
        <w:tc>
          <w:tcPr>
            <w:tcW w:w="3120" w:type="dxa"/>
            <w:vAlign w:val="bottom"/>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02139</w:t>
            </w:r>
          </w:p>
        </w:tc>
      </w:tr>
      <w:tr>
        <w:trPr>
          <w:trHeight w:val="180"/>
        </w:trPr>
        <w:tc>
          <w:tcPr>
            <w:tcW w:w="2640" w:type="dxa"/>
            <w:vAlign w:val="bottom"/>
          </w:tcPr>
          <w:p>
            <w:pPr>
              <w:spacing w:after="0"/>
              <w:rPr>
                <w:sz w:val="15"/>
                <w:szCs w:val="15"/>
                <w:color w:val="auto"/>
              </w:rPr>
            </w:pPr>
          </w:p>
        </w:tc>
        <w:tc>
          <w:tcPr>
            <w:tcW w:w="5540" w:type="dxa"/>
            <w:vAlign w:val="bottom"/>
          </w:tcPr>
          <w:p>
            <w:pPr>
              <w:jc w:val="center"/>
              <w:ind w:right="3300"/>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3120" w:type="dxa"/>
            <w:vAlign w:val="bottom"/>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(Zip Code)</w:t>
            </w:r>
          </w:p>
        </w:tc>
      </w:tr>
      <w:tr>
        <w:trPr>
          <w:trHeight w:val="369"/>
        </w:trPr>
        <w:tc>
          <w:tcPr>
            <w:tcW w:w="2640" w:type="dxa"/>
            <w:vAlign w:val="bottom"/>
          </w:tcPr>
          <w:p>
            <w:pPr>
              <w:spacing w:after="0"/>
              <w:rPr>
                <w:sz w:val="24"/>
                <w:szCs w:val="24"/>
                <w:color w:val="auto"/>
              </w:rPr>
            </w:pPr>
          </w:p>
        </w:tc>
        <w:tc>
          <w:tcPr>
            <w:tcW w:w="554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(617) 651-8867</w:t>
            </w:r>
          </w:p>
        </w:tc>
        <w:tc>
          <w:tcPr>
            <w:tcW w:w="3120" w:type="dxa"/>
            <w:vAlign w:val="bottom"/>
          </w:tcPr>
          <w:p>
            <w:pPr>
              <w:spacing w:after="0"/>
              <w:rPr>
                <w:sz w:val="24"/>
                <w:szCs w:val="24"/>
                <w:color w:val="auto"/>
              </w:rPr>
            </w:pPr>
          </w:p>
        </w:tc>
      </w:tr>
      <w:tr>
        <w:trPr>
          <w:trHeight w:val="273"/>
        </w:trPr>
        <w:tc>
          <w:tcPr>
            <w:tcW w:w="2640" w:type="dxa"/>
            <w:vAlign w:val="bottom"/>
          </w:tcPr>
          <w:p>
            <w:pPr>
              <w:spacing w:after="0"/>
              <w:rPr>
                <w:sz w:val="23"/>
                <w:szCs w:val="23"/>
                <w:color w:val="auto"/>
              </w:rPr>
            </w:pPr>
          </w:p>
        </w:tc>
        <w:tc>
          <w:tcPr>
            <w:tcW w:w="554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3120" w:type="dxa"/>
            <w:vAlign w:val="bottom"/>
          </w:tcPr>
          <w:p>
            <w:pPr>
              <w:spacing w:after="0"/>
              <w:rPr>
                <w:sz w:val="23"/>
                <w:szCs w:val="23"/>
                <w:color w:val="auto"/>
              </w:rPr>
            </w:pPr>
          </w:p>
        </w:tc>
      </w:tr>
      <w:tr>
        <w:trPr>
          <w:trHeight w:val="159"/>
        </w:trPr>
        <w:tc>
          <w:tcPr>
            <w:tcW w:w="2640" w:type="dxa"/>
            <w:vAlign w:val="bottom"/>
          </w:tcPr>
          <w:p>
            <w:pPr>
              <w:spacing w:after="0"/>
              <w:rPr>
                <w:sz w:val="13"/>
                <w:szCs w:val="13"/>
                <w:color w:val="auto"/>
              </w:rPr>
            </w:pPr>
          </w:p>
        </w:tc>
        <w:tc>
          <w:tcPr>
            <w:tcW w:w="5540" w:type="dxa"/>
            <w:vAlign w:val="bottom"/>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3120" w:type="dxa"/>
            <w:vAlign w:val="bottom"/>
          </w:tcPr>
          <w:p>
            <w:pPr>
              <w:spacing w:after="0"/>
              <w:rPr>
                <w:sz w:val="13"/>
                <w:szCs w:val="13"/>
                <w:color w:val="auto"/>
              </w:rPr>
            </w:pPr>
          </w:p>
        </w:tc>
      </w:tr>
      <w:tr>
        <w:trPr>
          <w:trHeight w:val="126"/>
        </w:trPr>
        <w:tc>
          <w:tcPr>
            <w:tcW w:w="2640" w:type="dxa"/>
            <w:vAlign w:val="bottom"/>
            <w:tcBorders>
              <w:bottom w:val="single" w:sz="8" w:color="auto"/>
            </w:tcBorders>
          </w:tcPr>
          <w:p>
            <w:pPr>
              <w:spacing w:after="0"/>
              <w:rPr>
                <w:sz w:val="10"/>
                <w:szCs w:val="10"/>
                <w:color w:val="auto"/>
              </w:rPr>
            </w:pPr>
          </w:p>
        </w:tc>
        <w:tc>
          <w:tcPr>
            <w:tcW w:w="55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r>
    </w:tbl>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309"/>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68"/>
        </w:trPr>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80" w:type="dxa"/>
            <w:vAlign w:val="bottom"/>
          </w:tcPr>
          <w:p>
            <w:pPr>
              <w:spacing w:after="0"/>
              <w:rPr>
                <w:sz w:val="14"/>
                <w:szCs w:val="1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80" w:type="dxa"/>
            <w:vAlign w:val="bottom"/>
          </w:tcPr>
          <w:p>
            <w:pPr>
              <w:spacing w:after="0"/>
              <w:rPr>
                <w:sz w:val="14"/>
                <w:szCs w:val="1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60"/>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CAMP</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Nasdaq Global Market</w:t>
            </w:r>
          </w:p>
        </w:tc>
      </w:tr>
    </w:tbl>
    <w:p>
      <w:pPr>
        <w:spacing w:after="0" w:line="187"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32"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4"/>
          <w:szCs w:val="24"/>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On May 14, 2026, CAMP4 Therapeutics Corporation (the “Company”) issued a press releases titled “CAMP4 Therapeutics to Present New Preclinical Data Demonstrating CMP-002 Improves Seizure Threshold and Severity in a Model of SYNGAP1-Related Disorder,” a copy of which is furnished as Exhibit 99.1 hereto.</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On May 14, 2026, the Company also updated its corporate slide presentation, a copy of which is furnished as Exhibit 99.2 hereto.</w:t>
      </w:r>
    </w:p>
    <w:p>
      <w:pPr>
        <w:spacing w:after="0" w:line="150" w:lineRule="exact"/>
        <w:rPr>
          <w:sz w:val="24"/>
          <w:szCs w:val="24"/>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and Exhibits 99.1 and 99.2 attached hereto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(the “Securities Act”), or the Exchange Act, except as shall be expressly set forth by specific reference in such a filing.</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7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6300" w:type="dxa"/>
            <w:vAlign w:val="bottom"/>
          </w:tcPr>
          <w:p>
            <w:pPr>
              <w:spacing w:after="0"/>
              <w:rPr>
                <w:sz w:val="13"/>
                <w:szCs w:val="13"/>
                <w:color w:val="auto"/>
              </w:rPr>
            </w:pPr>
          </w:p>
        </w:tc>
      </w:tr>
      <w:tr>
        <w:trPr>
          <w:trHeight w:val="333"/>
        </w:trPr>
        <w:tc>
          <w:tcPr>
            <w:tcW w:w="1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124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Pr>
          <w:p>
            <w:pPr>
              <w:spacing w:after="0"/>
              <w:rPr>
                <w:sz w:val="11"/>
                <w:szCs w:val="11"/>
                <w:color w:val="auto"/>
              </w:rPr>
            </w:pPr>
          </w:p>
        </w:tc>
        <w:tc>
          <w:tcPr>
            <w:tcW w:w="3680" w:type="dxa"/>
            <w:vAlign w:val="bottom"/>
            <w:tcBorders>
              <w:top w:val="single" w:sz="8" w:color="auto"/>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9"/>
              </w:rPr>
              <w:t>Press release issued by CAMP4 Therapeutics Corporation on May 14, 2026.</w:t>
            </w:r>
          </w:p>
        </w:tc>
        <w:tc>
          <w:tcPr>
            <w:tcW w:w="6300" w:type="dxa"/>
            <w:vAlign w:val="bottom"/>
            <w:tcBorders>
              <w:top w:val="single" w:sz="8" w:color="auto"/>
            </w:tcBorders>
          </w:tcPr>
          <w:p>
            <w:pPr>
              <w:spacing w:after="0"/>
              <w:rPr>
                <w:sz w:val="11"/>
                <w:szCs w:val="11"/>
                <w:color w:val="auto"/>
              </w:rPr>
            </w:pPr>
          </w:p>
        </w:tc>
      </w:tr>
      <w:tr>
        <w:trPr>
          <w:trHeight w:val="160"/>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17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Slide presentation, dated May 2026.</w:t>
            </w:r>
          </w:p>
        </w:tc>
        <w:tc>
          <w:tcPr>
            <w:tcW w:w="8240" w:type="dxa"/>
            <w:vAlign w:val="bottom"/>
            <w:gridSpan w:val="2"/>
          </w:tcPr>
          <w:p>
            <w:pPr>
              <w:spacing w:after="0"/>
              <w:rPr>
                <w:sz w:val="13"/>
                <w:szCs w:val="13"/>
                <w:color w:val="auto"/>
              </w:rPr>
            </w:pPr>
          </w:p>
        </w:tc>
      </w:tr>
      <w:tr>
        <w:trPr>
          <w:trHeight w:val="18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tcPr>
          <w:p>
            <w:pPr>
              <w:spacing w:after="0"/>
              <w:rPr>
                <w:sz w:val="16"/>
                <w:szCs w:val="16"/>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37"/>
        </w:trPr>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25" w:right="299" w:bottom="1440" w:gutter="0" w:footer="0" w:header="0"/>
        </w:sectPr>
      </w:pPr>
    </w:p>
    <w:bookmarkStart w:id="1" w:name="page2"/>
    <w:bookmarkEnd w:id="1"/>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2"/>
          <w:szCs w:val="12"/>
          <w:b w:val="1"/>
          <w:bCs w:val="1"/>
          <w:color w:val="auto"/>
        </w:rPr>
        <w:t>CAMP4 THERAPEUTICS CORPORATION</w:t>
      </w:r>
    </w:p>
    <w:p>
      <w:pPr>
        <w:spacing w:after="0" w:line="226" w:lineRule="exact"/>
        <w:rPr>
          <w:sz w:val="20"/>
          <w:szCs w:val="20"/>
          <w:color w:val="auto"/>
        </w:rPr>
      </w:pPr>
    </w:p>
    <w:p>
      <w:pPr>
        <w:ind w:left="5600"/>
        <w:spacing w:after="0"/>
        <w:tabs>
          <w:tab w:leader="none" w:pos="60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22225</wp:posOffset>
            </wp:positionV>
            <wp:extent cx="333184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1845" cy="571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2"/>
          <w:szCs w:val="12"/>
          <w:color w:val="auto"/>
        </w:rPr>
        <w:t>Name: Josh Mandel-Brehm</w:t>
      </w:r>
    </w:p>
    <w:p>
      <w:pPr>
        <w:spacing w:after="0" w:line="4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14, 2026</w:t>
      </w:r>
    </w:p>
    <w:p>
      <w:pPr>
        <w:sectPr>
          <w:pgSz w:w="11900" w:h="16838" w:orient="portrait"/>
          <w:cols w:equalWidth="0" w:num="1">
            <w:col w:w="10159"/>
          </w:cols>
          <w:pgMar w:left="300" w:top="809" w:right="1440" w:bottom="1440" w:gutter="0" w:footer="0" w:header="0"/>
        </w:sectPr>
      </w:pPr>
    </w:p>
    <w:bookmarkStart w:id="2" w:name="page3"/>
    <w:bookmarkEnd w:id="2"/>
    <w:p>
      <w:pPr>
        <w:jc w:val="center"/>
        <w:spacing w:after="0" w:line="275"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80085" cy="200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0085" cy="200025"/>
                    </a:xfrm>
                    <a:prstGeom prst="rect">
                      <a:avLst/>
                    </a:prstGeom>
                    <a:noFill/>
                  </pic:spPr>
                </pic:pic>
              </a:graphicData>
            </a:graphic>
          </wp:anchor>
        </w:drawing>
        <w:t>CAMP4 Therapeutics to Present New Preclinical Data Demonstrating CMP-002 Improves Seizure Threshold and Severity in a Model of SYNGAP1-Related Disorder</w:t>
      </w:r>
    </w:p>
    <w:p>
      <w:pPr>
        <w:spacing w:after="0" w:line="81" w:lineRule="exact"/>
        <w:rPr>
          <w:sz w:val="20"/>
          <w:szCs w:val="20"/>
          <w:color w:val="auto"/>
        </w:rPr>
      </w:pPr>
    </w:p>
    <w:p>
      <w:pPr>
        <w:jc w:val="center"/>
        <w:spacing w:after="0" w:line="446" w:lineRule="auto"/>
        <w:rPr>
          <w:sz w:val="20"/>
          <w:szCs w:val="20"/>
          <w:color w:val="auto"/>
        </w:rPr>
      </w:pPr>
      <w:r>
        <w:rPr>
          <w:rFonts w:ascii="Times New Roman" w:cs="Times New Roman" w:eastAsia="Times New Roman" w:hAnsi="Times New Roman"/>
          <w:sz w:val="14"/>
          <w:szCs w:val="14"/>
          <w:i w:val="1"/>
          <w:iCs w:val="1"/>
          <w:color w:val="auto"/>
        </w:rPr>
        <w:t>CMP-002 administration resulted in a statistically significant improvement in seizure phenotypes and parameters in a SYNGAP1 haploinsufficient mouse model Results build upon prior preclinical evidence of neurodevelopmental benefit and suggest the potential for broader therapeutic impact</w:t>
      </w:r>
    </w:p>
    <w:p>
      <w:pPr>
        <w:spacing w:after="0" w:line="14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CAMBRIDGE, Mass., May 14, 2026 (GLOBE NEWSWIRE) -- </w:t>
      </w:r>
      <w:r>
        <w:rPr>
          <w:rFonts w:ascii="Times New Roman" w:cs="Times New Roman" w:eastAsia="Times New Roman" w:hAnsi="Times New Roman"/>
          <w:sz w:val="14"/>
          <w:szCs w:val="14"/>
          <w:color w:val="auto"/>
        </w:rPr>
        <w:t>CAMP4 Therapeutics Corporation ("CAMP4" or "the Company") (Nasdaq: CAMP), a clinical-stage biopharmaceutical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developing a pipeline of regulatory RNA-targeting therapeutics designed to upregulate gene expression with the goal of restoring healthy protein levels to treat a broad range of genetic diseases, today announced the presentation of new preclinical data for CMP-002, the Company's lead investigational antisense oligonucleotide (ASO) therapeutic candidate for SYNGAP1-related disorder (SRD), at the TIDES Oligonucleotide &amp; Peptide Therapeutics conference on May 14, 2026.</w:t>
      </w:r>
    </w:p>
    <w:p>
      <w:pPr>
        <w:spacing w:after="0" w:line="62"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The new data demonstrate that CMP-002 administration produced a statistically significant improvement in both seizure threshold and severity of chemically-induced tonic-clonic seizures in mice haploinsufficient for SYNGAP1.</w:t>
      </w:r>
    </w:p>
    <w:p>
      <w:pPr>
        <w:spacing w:after="0" w:line="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"SYNGAP1-related disorder is characterized by a constellation of neurological symptoms, of which seizures are among the most common, resulting in a devastating burden on patients and their families," said Daniel Tardiff, PhD, Chief Scientific Officer of CAMP4. "Our prior work established that CMP-002 can meaningfully restore motor and behavioral function in preclinical models, and these new seizure data are an important extension of that story. Given this evidence, we believe that by restoring SYNGAP1 protein towards healthy levels, CMP-002 may address a broad range of symptoms that define this disease. We look forward to sharing these findings with the broader oligonucleotide therapeutics community at TIDES."</w:t>
      </w:r>
    </w:p>
    <w:p>
      <w:pPr>
        <w:spacing w:after="0" w:line="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Because SYNGAP1 haploinsufficient mice do not exhibit spontaneous and readily countable seizures, the study employed a seizure induction model using pentylenetetrazol (PTZ). PTZ is a GABA receptor antagonist that increases excitatory signaling and induces seizures. In the new study, PTZ was administered to induce tonic-clonic seizures one month after administration of CMP-002 to juvenile mice. SYNGAP1 haploinsufficient mice experienced a greater seizure burden compared to wild-type mice, while intervention with a single dose of CMP-002 led to a statistically significant resistance to the onset of tonic-clonic seizures following repeated PTZ administration, as well as a statistically significant decrease in seizure severity.</w:t>
      </w:r>
    </w:p>
    <w:p>
      <w:pPr>
        <w:spacing w:after="0" w:line="53"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4"/>
          <w:szCs w:val="14"/>
          <w:color w:val="auto"/>
        </w:rPr>
        <w:t>Together, these data suggest that restoring SYNGAP1 protein toward healthy levels with CMP-002 may improve both the neurodevelopmental and seizure phenotypes that define SRD, supporting the potential of CMP-002 to provide broad disease-modifying benefit.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CAMP4 expects to advance CMP-002 into a Phase 1/2 clinical trial in individuals with SYNGAP1-related disorder in the second half of 2026.</w:t>
      </w:r>
    </w:p>
    <w:p>
      <w:pPr>
        <w:sectPr>
          <w:pgSz w:w="11900" w:h="16838" w:orient="portrait"/>
          <w:cols w:equalWidth="0" w:num="1">
            <w:col w:w="11280"/>
          </w:cols>
          <w:pgMar w:left="300" w:top="98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80085" cy="200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80085" cy="200025"/>
                    </a:xfrm>
                    <a:prstGeom prst="rect">
                      <a:avLst/>
                    </a:prstGeom>
                    <a:noFill/>
                  </pic:spPr>
                </pic:pic>
              </a:graphicData>
            </a:graphic>
          </wp:anchor>
        </w:drawing>
        <w:t>About CAMP4 Therapeutics</w:t>
      </w:r>
    </w:p>
    <w:p>
      <w:pPr>
        <w:spacing w:after="0" w:line="11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For more information, visit camp4tx.com.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SYNGAP1-Related Disorder</w:t>
      </w:r>
    </w:p>
    <w:p>
      <w:pPr>
        <w:spacing w:after="0" w:line="11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SYNGAP1-related disorder (also referred to as SYNGAP1) is a rare, haploinsufficient CNS disorder caused by mutations in the SYNGAP1 gene, resulting in approximately 50% of normal SYNGAP protein levels. The condition affects over 10,000 individuals in the United States and is characterized by intellectual disability in 100% of patients, epilepsy in approximately 85%, severe behavioral problems in approximately 70%, sleep problems in approximately 60%, and limited communication, with approximately 30% of patients being non-verbal. There are currently no approved disease-modifying therapies for patients living with SYNGAP1.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CMP-002</w:t>
      </w:r>
    </w:p>
    <w:p>
      <w:pPr>
        <w:spacing w:after="0" w:line="11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CMP-002 is CAMP4's lead investigational ASO therapeutic candidate designed to bind to a SYNGAP1-specific regRNA to increase SYNGAP1 gene expression and restore SYNGAP protein toward near wild-type levels. Administered intrathecally, CMP-002 has demonstrated dose-dependent increases in SYNGAP protein expression in patient-derived neurons, reversal of disease-relevant behavioral phenotypes in a humanized haploinsufficient mouse model, statistically significant improvement of seizure phenotypes and parameters in a chemically induced seizure mouse model, and broad brain distribution with significant SYNGAP protein upregulation in non-human primates. The Company expects to initiate a global Phase 1/2 clinical trial in SYNGAP1 patients in 2H 2026.</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TIDES Oligonucleotide &amp; Peptide Therapeutics</w:t>
      </w:r>
    </w:p>
    <w:p>
      <w:pPr>
        <w:spacing w:after="0" w:line="11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4"/>
          <w:szCs w:val="14"/>
          <w:color w:val="auto"/>
        </w:rPr>
        <w:t>TIDES is a leading annual conference focused on the development, manufacturing, and clinical advancement of oligonucleotide and peptide therapeutics. The conference convenes scientists, clinicians, and industry leaders to accelerate the translation of these modalities from discovery to the clinic.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11"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4"/>
          <w:szCs w:val="14"/>
          <w:color w:val="auto"/>
        </w:rPr>
        <w:t>This press release contains forward-looking statements which involve risks, uncertainties and contingencies, many of which are beyond the control of the Company, which may cause actual results, performance, or achievements to differ materially from anticipated results, performance,</w:t>
      </w:r>
    </w:p>
    <w:p>
      <w:pPr>
        <w:sectPr>
          <w:pgSz w:w="11900" w:h="16838" w:orient="portrait"/>
          <w:cols w:equalWidth="0" w:num="1">
            <w:col w:w="11240"/>
          </w:cols>
          <w:pgMar w:left="300" w:top="1253" w:right="359" w:bottom="1440" w:gutter="0" w:footer="0" w:header="0"/>
        </w:sectPr>
      </w:pPr>
    </w:p>
    <w:bookmarkStart w:id="4" w:name="page5"/>
    <w:bookmarkEnd w:id="4"/>
    <w:p>
      <w:pPr>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80085" cy="20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0085" cy="200025"/>
                    </a:xfrm>
                    <a:prstGeom prst="rect">
                      <a:avLst/>
                    </a:prstGeom>
                    <a:noFill/>
                  </pic:spPr>
                </pic:pic>
              </a:graphicData>
            </a:graphic>
          </wp:anchor>
        </w:drawing>
        <w:t>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 the anticipated timing to advance CMP-002 into a clinical trial and the therapeutic potential of the Company's platform technology and product candidates.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uncertainty of preclinical and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the Company's dependence on the services of the Company's senior management and other clinical and scientific personnel, and the Company's ability to retain these individuals or recruit additional management or clinical and scientific personnel;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platform technology and product candidates; and other risks and uncertainties described in the section "Risk Factors" in the Company's Annual Report on Form 10-K for the year ended December 31, 2025 and Quarterly Report on Form 10-Q for the quarter ended March 31,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undertake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 Michelmore</w:t>
      </w:r>
    </w:p>
    <w:p>
      <w:pPr>
        <w:sectPr>
          <w:pgSz w:w="11900" w:h="16838" w:orient="portrait"/>
          <w:cols w:equalWidth="0" w:num="1">
            <w:col w:w="11280"/>
          </w:cols>
          <w:pgMar w:left="300" w:top="99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680085" cy="200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0085" cy="200025"/>
                    </a:xfrm>
                    <a:prstGeom prst="rect">
                      <a:avLst/>
                    </a:prstGeom>
                    <a:noFill/>
                  </pic:spPr>
                </pic:pic>
              </a:graphicData>
            </a:graphic>
          </wp:anchor>
        </w:drawing>
        <w:t>Milestone Advisors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sara@milestone-advisorsllc.com</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Sofia Bermudez</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LifeSci Communications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sbermudez@lifescicomms.com</w:t>
      </w:r>
    </w:p>
    <w:p>
      <w:pPr>
        <w:sectPr>
          <w:pgSz w:w="11900" w:h="16838" w:orient="portrait"/>
          <w:cols w:equalWidth="0" w:num="1">
            <w:col w:w="10159"/>
          </w:cols>
          <w:pgMar w:left="300" w:top="994"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398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2026-05-14T08:02:53Z</dcterms:created>
  <dcterms:modified xsi:type="dcterms:W3CDTF">2026-05-14T08:02:53Z</dcterms:modified>
</cp:coreProperties>
</file>