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Camp4 Therapeutics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L.P.</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2,591,097.00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2,591,097.00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2,591,097.00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4.99 %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2,591,097.00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2,591,097.00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2,591,097.00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2,591,097.00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2,591,097.00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2,591,097.00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Dames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2,591,097.00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2,591,097.00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2,591,097.00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Dmitry Balyasny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2,591,097.00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2,591,097.00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2,591,097.00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Camp4 Therapeutics Corp.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Kendall Square, Building 1400 West, 3rd Floor, Cambridge, MA 02139</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(1) Balyasny Asset Management L.P., a Delaware limited partnership ("BAM"), (2) 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BAM, BAM GP, BAM Holdings, Dames, and Mr. Balyasny is located at 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(1) BAM is a Delaware limited partnership, (2) BAM GP is a Delaware limited liability company, (3) BAM Holdings is a Delaware limited partnership, (4) Dames is a Delaware limited liability company, and (5) Mr. Balyasny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By virtue of its position as the investment manager of Atlas Diversified Master Fund, Ltd ("ADMF"), the direct holder of 332,604 shares of common stock, par value $0.0001 per share ("Shares"), reported herein, and by virtue of its position as the investment manager of Atlas Private Holdings (Cayman) Ltd. ("APHC"), is the direct holder of the 2,243,120 shares of common stock (including an additional 1,624,523 shares issued upon the exercise of warrants), par value $0.0001 per share, reported herein, BAM may be deemed to exercise voting and investment power over such Shares held by ADMF and APHC and thus may be deemed to beneficially own such Shares. The warrants carry a 4.99% exericse blocker. By virtue of its position as the General Partner of BAM, BAM GP may be deemed to exercise voting and investment power over the Shares held directly by ADMF and APHC and thus may be deemed to beneficially own such Shares. By virtue of its position as the Sole Member of BAM GP, BAM Holdings may be deemed to exercise voting and investment power over the Shares held directly by ADMF and APHC and thus may be deemed to beneficially own such Shares. By virtue of its position as the General Partner of BAM Holdings, Dames may be deemed to exercise voting and investment power over the Shares held directly by ADMF and APHC and thus may be deemed to beneficially own such Shares. By virtue of his position as the Managing Member of Dames, Mr. Balyasny may be deemed to exercise voting and investment power over the Shares held directly by ADMF and APHC and thus may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approximately 4.99% of the Shares, based on the 51,925,800 Shares outstanding as of May 6, 2026, as reported in the Issuer's report filed on form 10-Q with the Securities and Exchange Commission on May 7, 2026. The reported amount consists of 2,575,724 shares and 15,373 shares issuable upon the exercise of 1,624,523 warrants subject to the Beneficial Ownership Limitation (as defined herein). The Warrants are subject to a blocker which prevents the holder from exercising the Warrants to the extent that, upon such exercise, the holder would beneficially own in excess of 4.99% of the Shares outstanding as a result of the exercise (the "Beneficial Ownership Limitation").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has the sole power to vote or to direct the vote of 2591097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has the sole power to dispose or to direct the disposition of 2591097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ADMF and APHC, are both Cayman Islands exempted companies that are investment management clients of BAM, have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60" w:type="dxa"/>
        <w:jc w:val="left"/>
        <w:tblInd w:w="0" w:type="dxa"/>
        <w:tblLayout w:type="fixed"/>
        <w:tblCellMar>
          <w:top w:w="28" w:type="dxa"/>
          <w:left w:w="28" w:type="dxa"/>
          <w:bottom w:w="28" w:type="dxa"/>
          <w:right w:w="28" w:type="dxa"/>
        </w:tblCellMar>
      </w:tblPr>
      <w:tblGrid>
        <w:gridCol w:w="4780"/>
        <w:gridCol w:w="4780"/>
      </w:tblGrid>
      <w:tr>
        <w:trPr/>
        <w:tc>
          <w:tcPr>
            <w:tcW w:w="4780" w:type="dxa"/>
            <w:tcBorders/>
            <w:vAlign w:val="center"/>
          </w:tcPr>
          <w:p>
            <w:pPr>
              <w:pStyle w:val="TableContents"/>
              <w:bidi w:val="0"/>
              <w:spacing w:before="0" w:after="0"/>
              <w:jc w:val="left"/>
              <w:rPr/>
            </w:pPr>
            <w:r>
              <w:rPr/>
              <w:t> </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0"/>
                    <w:jc w:val="left"/>
                    <w:rPr/>
                  </w:pPr>
                  <w:r>
                    <w:rPr/>
                    <w:t>BALYASNY ASSET MANAGEMENT L.P.</w:t>
                  </w:r>
                </w:p>
              </w:tc>
            </w:tr>
          </w:tbl>
          <w:p>
            <w:pPr>
              <w:pStyle w:val="TableContents"/>
              <w:bidi w:val="0"/>
              <w:spacing w:before="0" w:after="283"/>
              <w:jc w:val="left"/>
              <w:rPr/>
            </w:pPr>
            <w:r>
              <w:rPr/>
            </w:r>
          </w:p>
        </w:tc>
        <w:tc>
          <w:tcPr>
            <w:tcW w:w="47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BAM GP LLC</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Balyasny Asset Management Holdings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Dames 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Dmitry Balyasny</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Dmitry Balyasny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Dmitry Balyasny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1964</Words>
  <Characters>9986</Characters>
  <CharactersWithSpaces>11864</CharactersWithSpaces>
  <Paragraphs>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